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B3" w:rsidRDefault="00E013B3" w:rsidP="00E013B3">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E013B3" w:rsidRDefault="00E013B3" w:rsidP="00E013B3">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148/2016-JN</w:t>
      </w:r>
      <w:r>
        <w:rPr>
          <w:rFonts w:asciiTheme="minorHAnsi" w:hAnsiTheme="minorHAnsi" w:cstheme="minorHAnsi"/>
          <w:color w:val="767171" w:themeColor="background2" w:themeShade="80"/>
          <w:sz w:val="26"/>
          <w:szCs w:val="26"/>
        </w:rPr>
        <w:t xml:space="preserve">, promovido por la ciudadana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E013B3" w:rsidRDefault="00E013B3" w:rsidP="00E013B3">
      <w:pPr>
        <w:jc w:val="both"/>
        <w:rPr>
          <w:color w:val="767171" w:themeColor="background2" w:themeShade="80"/>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GCA/1970/15</w:t>
      </w:r>
      <w:r>
        <w:rPr>
          <w:rFonts w:asciiTheme="minorHAnsi" w:hAnsiTheme="minorHAnsi" w:cstheme="minorHAnsi"/>
          <w:color w:val="767171" w:themeColor="background2" w:themeShade="80"/>
          <w:sz w:val="26"/>
          <w:szCs w:val="26"/>
        </w:rPr>
        <w:t xml:space="preserve"> de fecha  17 diecisiete  de diciembre  del  año </w:t>
      </w:r>
    </w:p>
    <w:p w:rsidR="00E013B3" w:rsidRDefault="00E013B3" w:rsidP="00E013B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148/2016-JN</w:t>
      </w:r>
    </w:p>
    <w:p w:rsidR="00E013B3" w:rsidRDefault="00E013B3" w:rsidP="00E013B3">
      <w:pPr>
        <w:pStyle w:val="Textoindependienteprimerasangra"/>
        <w:ind w:firstLine="0"/>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E013B3" w:rsidRDefault="00E013B3" w:rsidP="00E013B3">
      <w:pPr>
        <w:pStyle w:val="Textoindependienteprimerasangra"/>
        <w:jc w:val="both"/>
        <w:rPr>
          <w:rFonts w:asciiTheme="minorHAnsi" w:hAnsiTheme="minorHAnsi" w:cstheme="minorHAnsi"/>
          <w:b/>
          <w: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013B3" w:rsidRDefault="00E013B3" w:rsidP="00E013B3">
      <w:pPr>
        <w:pStyle w:val="Textoindependienteprimerasangra"/>
        <w:ind w:firstLine="0"/>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que el acto impugnado no afecta el interés jurídico de la actora y, que dicho acto, no constituye un acto administrativo. . . . . . . . . . .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lastRenderedPageBreak/>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E013B3" w:rsidRDefault="00E013B3" w:rsidP="00E013B3">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E013B3" w:rsidRDefault="00E013B3" w:rsidP="00E013B3">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E013B3" w:rsidRDefault="00E013B3" w:rsidP="00E013B3">
      <w:pPr>
        <w:pStyle w:val="Textoindependienteprimerasangra"/>
        <w:ind w:firstLine="0"/>
        <w:jc w:val="both"/>
        <w:rPr>
          <w:rFonts w:asciiTheme="minorHAnsi" w:hAnsiTheme="minorHAnsi" w:cstheme="minorHAnsi"/>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la actora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la impetrante del proceso tiene interés jurídico. . . . . . . .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 la actora,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w:t>
      </w:r>
      <w:r>
        <w:rPr>
          <w:rFonts w:asciiTheme="minorHAnsi" w:hAnsiTheme="minorHAnsi" w:cstheme="minorHAnsi"/>
          <w:color w:val="767171" w:themeColor="background2" w:themeShade="80"/>
          <w:sz w:val="26"/>
          <w:szCs w:val="26"/>
        </w:rPr>
        <w:lastRenderedPageBreak/>
        <w:t xml:space="preserve">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E013B3" w:rsidRDefault="00E013B3" w:rsidP="00E013B3">
      <w:pPr>
        <w:pStyle w:val="Sangra3detindependiente"/>
        <w:rPr>
          <w:rFonts w:asciiTheme="minorHAnsi" w:hAnsiTheme="minorHAnsi" w:cstheme="minorHAnsi"/>
          <w:b/>
          <w:bCs/>
          <w:i/>
          <w:iCs/>
          <w:color w:val="767171" w:themeColor="background2" w:themeShade="80"/>
          <w:sz w:val="20"/>
          <w:szCs w:val="20"/>
        </w:rPr>
      </w:pPr>
    </w:p>
    <w:p w:rsidR="00E013B3" w:rsidRDefault="00E013B3" w:rsidP="00E013B3">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E013B3" w:rsidRDefault="00E013B3" w:rsidP="00E013B3">
      <w:pPr>
        <w:jc w:val="both"/>
        <w:rPr>
          <w:rFonts w:ascii="Calibri" w:hAnsi="Calibri"/>
          <w:color w:val="767171" w:themeColor="background2" w:themeShade="80"/>
          <w:sz w:val="26"/>
        </w:rPr>
      </w:pPr>
    </w:p>
    <w:p w:rsidR="00E013B3" w:rsidRDefault="00E013B3" w:rsidP="00E013B3">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la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w:t>
      </w:r>
    </w:p>
    <w:p w:rsidR="00E013B3" w:rsidRDefault="00E013B3" w:rsidP="00E013B3">
      <w:pPr>
        <w:jc w:val="both"/>
        <w:rPr>
          <w:rFonts w:ascii="Calibri" w:hAnsi="Calibri"/>
          <w:color w:val="767171" w:themeColor="background2" w:themeShade="80"/>
          <w:sz w:val="26"/>
        </w:rPr>
      </w:pPr>
    </w:p>
    <w:p w:rsidR="00E013B3" w:rsidRDefault="00E013B3" w:rsidP="00E013B3">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A lo peticionado por la actora, el Gerente de Calidad del Agua del Sistema de Agua Potable y Alcantarillado de León, Guanajuato, emitió el oficio GCA/1970/15, 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p>
    <w:p w:rsidR="00E013B3" w:rsidRDefault="00E013B3" w:rsidP="00E013B3">
      <w:pPr>
        <w:jc w:val="both"/>
        <w:rPr>
          <w:rFonts w:ascii="Calibri" w:hAnsi="Calibri"/>
          <w:color w:val="767171" w:themeColor="background2" w:themeShade="80"/>
          <w:sz w:val="26"/>
        </w:rPr>
      </w:pPr>
    </w:p>
    <w:p w:rsidR="00E013B3" w:rsidRDefault="00E013B3" w:rsidP="00E013B3">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E013B3" w:rsidRDefault="00E013B3" w:rsidP="00E013B3">
      <w:pPr>
        <w:jc w:val="both"/>
        <w:rPr>
          <w:rFonts w:ascii="Calibri" w:hAnsi="Calibri"/>
          <w:color w:val="767171" w:themeColor="background2" w:themeShade="80"/>
          <w:sz w:val="26"/>
        </w:rPr>
      </w:pPr>
    </w:p>
    <w:p w:rsidR="00E013B3" w:rsidRDefault="00E013B3" w:rsidP="00E013B3">
      <w:pPr>
        <w:ind w:firstLine="708"/>
        <w:jc w:val="both"/>
        <w:rPr>
          <w:rFonts w:ascii="Calibri" w:hAnsi="Calibri"/>
          <w:color w:val="767171" w:themeColor="background2" w:themeShade="80"/>
          <w:sz w:val="26"/>
          <w:lang w:val="es-MX"/>
        </w:rPr>
      </w:pPr>
    </w:p>
    <w:p w:rsidR="00E013B3" w:rsidRDefault="00E013B3" w:rsidP="00E013B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148/2016-JN</w:t>
      </w:r>
    </w:p>
    <w:p w:rsidR="00E013B3" w:rsidRDefault="00E013B3" w:rsidP="00E013B3">
      <w:pPr>
        <w:ind w:firstLine="708"/>
        <w:jc w:val="both"/>
        <w:rPr>
          <w:rFonts w:ascii="Calibri" w:hAnsi="Calibri"/>
          <w:color w:val="767171" w:themeColor="background2" w:themeShade="80"/>
          <w:sz w:val="26"/>
        </w:rPr>
      </w:pPr>
    </w:p>
    <w:p w:rsidR="00E013B3" w:rsidRDefault="00E013B3" w:rsidP="00E013B3">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la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E013B3" w:rsidRDefault="00E013B3" w:rsidP="00E013B3">
      <w:pPr>
        <w:ind w:firstLine="708"/>
        <w:jc w:val="both"/>
        <w:rPr>
          <w:rFonts w:ascii="Calibri" w:hAnsi="Calibri"/>
          <w:color w:val="767171" w:themeColor="background2" w:themeShade="80"/>
          <w:sz w:val="26"/>
          <w:lang w:val="es-MX"/>
        </w:rPr>
      </w:pPr>
    </w:p>
    <w:p w:rsidR="00E013B3" w:rsidRDefault="00E013B3" w:rsidP="00E013B3">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GCA/1970/15, de fecha 17 diecisiete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E013B3" w:rsidRDefault="00E013B3" w:rsidP="00E013B3">
      <w:pPr>
        <w:ind w:firstLine="708"/>
        <w:jc w:val="both"/>
        <w:rPr>
          <w:rFonts w:ascii="Calibri" w:hAnsi="Calibri"/>
          <w:color w:val="767171" w:themeColor="background2" w:themeShade="80"/>
          <w:sz w:val="26"/>
        </w:rPr>
      </w:pPr>
    </w:p>
    <w:p w:rsidR="00E013B3" w:rsidRDefault="00E013B3" w:rsidP="00E013B3">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w:t>
      </w:r>
      <w:r>
        <w:rPr>
          <w:rFonts w:ascii="Calibri" w:hAnsi="Calibri"/>
          <w:color w:val="767171" w:themeColor="background2" w:themeShade="80"/>
          <w:sz w:val="26"/>
        </w:rPr>
        <w:lastRenderedPageBreak/>
        <w:t xml:space="preserve">ello el criterio sostenido por el Tribunal Colegiado de Circuito del Poder Judicial de la Federación, en la siguiente Jurisprudencia: . . . . . . . . . . . . . . . . . . . . .. </w:t>
      </w:r>
    </w:p>
    <w:p w:rsidR="00E013B3" w:rsidRDefault="00E013B3" w:rsidP="00E013B3">
      <w:pPr>
        <w:pStyle w:val="NormalWeb"/>
        <w:spacing w:before="0" w:beforeAutospacing="0" w:after="0" w:afterAutospacing="0"/>
        <w:rPr>
          <w:color w:val="767171" w:themeColor="background2" w:themeShade="80"/>
          <w:lang w:val="es-ES"/>
        </w:rPr>
      </w:pPr>
    </w:p>
    <w:p w:rsidR="00E013B3" w:rsidRDefault="00E013B3" w:rsidP="00E013B3">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E013B3" w:rsidRDefault="00E013B3" w:rsidP="00E013B3"/>
    <w:p w:rsidR="00E013B3" w:rsidRDefault="00E013B3" w:rsidP="00E013B3">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la actora aduce, “grosso modo”, que el oficio controvertido carece de la debida fundamentación y motivación, ya que es inexacto e impreciso sobre el trámite administrativo solicitado. . . . . . . . . . . . . . . . . . . . . . . . . . . . . . . . . . . . . . . . . . . . . . . . . . . . . . . . . . . . . </w:t>
      </w:r>
    </w:p>
    <w:p w:rsidR="00E013B3" w:rsidRDefault="00E013B3" w:rsidP="00E013B3">
      <w:pPr>
        <w:jc w:val="both"/>
        <w:rPr>
          <w:rFonts w:asciiTheme="minorHAnsi" w:hAnsiTheme="minorHAnsi" w:cstheme="minorHAnsi"/>
          <w:color w:val="767171" w:themeColor="background2" w:themeShade="80"/>
          <w:sz w:val="26"/>
          <w:szCs w:val="26"/>
        </w:rPr>
      </w:pPr>
    </w:p>
    <w:p w:rsidR="00E013B3" w:rsidRDefault="00E013B3" w:rsidP="00E013B3">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E013B3" w:rsidRDefault="00E013B3" w:rsidP="00E013B3">
      <w:pPr>
        <w:pStyle w:val="Sangra3detindependiente"/>
        <w:rPr>
          <w:rFonts w:asciiTheme="minorHAnsi" w:hAnsiTheme="minorHAnsi" w:cstheme="minorHAnsi"/>
          <w:color w:val="767171" w:themeColor="background2" w:themeShade="80"/>
        </w:rPr>
      </w:pPr>
    </w:p>
    <w:p w:rsidR="00E013B3" w:rsidRDefault="00E013B3" w:rsidP="00E013B3">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GCA/1970/15,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la justiciable, sea menester contar con su presencia personal o por Apoderado. . . . . . . . . . . . . . . . . . </w:t>
      </w:r>
    </w:p>
    <w:p w:rsidR="00E013B3" w:rsidRDefault="00E013B3" w:rsidP="00E013B3">
      <w:pPr>
        <w:ind w:firstLine="708"/>
        <w:jc w:val="both"/>
        <w:rPr>
          <w:rFonts w:ascii="Calibri" w:hAnsi="Calibri"/>
          <w:bCs/>
          <w:color w:val="767171" w:themeColor="background2" w:themeShade="80"/>
          <w:sz w:val="26"/>
        </w:rPr>
      </w:pPr>
    </w:p>
    <w:p w:rsidR="00E013B3" w:rsidRDefault="00E013B3" w:rsidP="00E013B3">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E013B3" w:rsidRDefault="00E013B3" w:rsidP="00E013B3">
      <w:pPr>
        <w:jc w:val="both"/>
        <w:rPr>
          <w:rFonts w:ascii="Calibri" w:hAnsi="Calibri"/>
          <w:bCs/>
          <w:color w:val="767171" w:themeColor="background2" w:themeShade="80"/>
          <w:sz w:val="26"/>
        </w:rPr>
      </w:pPr>
    </w:p>
    <w:p w:rsidR="00E013B3" w:rsidRDefault="00E013B3" w:rsidP="00E013B3">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la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E013B3" w:rsidRDefault="00E013B3" w:rsidP="00E013B3">
      <w:pPr>
        <w:jc w:val="both"/>
        <w:rPr>
          <w:rFonts w:ascii="Calibri" w:hAnsi="Calibri"/>
          <w:bCs/>
          <w:color w:val="767171" w:themeColor="background2" w:themeShade="80"/>
          <w:sz w:val="26"/>
        </w:rPr>
      </w:pPr>
    </w:p>
    <w:p w:rsidR="00E013B3" w:rsidRDefault="00E013B3" w:rsidP="00E013B3">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oficio GCA/1970/15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w:t>
      </w:r>
      <w:r>
        <w:rPr>
          <w:rFonts w:asciiTheme="minorHAnsi" w:hAnsiTheme="minorHAnsi" w:cstheme="minorHAnsi"/>
          <w:color w:val="767171" w:themeColor="background2" w:themeShade="80"/>
          <w:sz w:val="26"/>
          <w:szCs w:val="26"/>
        </w:rPr>
        <w:t>la ciudadana *****</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 . . . . . . . . . . . . .</w:t>
      </w:r>
    </w:p>
    <w:p w:rsidR="00E013B3" w:rsidRDefault="00E013B3" w:rsidP="00E013B3">
      <w:pPr>
        <w:ind w:firstLine="708"/>
        <w:jc w:val="both"/>
        <w:rPr>
          <w:rFonts w:ascii="Calibri" w:hAnsi="Calibri" w:cs="Calibri"/>
          <w:color w:val="767171" w:themeColor="background2" w:themeShade="80"/>
          <w:sz w:val="26"/>
          <w:szCs w:val="26"/>
        </w:rPr>
      </w:pPr>
    </w:p>
    <w:p w:rsidR="00E013B3" w:rsidRDefault="00E013B3" w:rsidP="00E013B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E013B3" w:rsidRDefault="00E013B3" w:rsidP="00E013B3">
      <w:pPr>
        <w:pStyle w:val="Textoindependiente"/>
        <w:rPr>
          <w:rFonts w:ascii="Calibri" w:hAnsi="Calibri"/>
          <w:color w:val="767171" w:themeColor="background2" w:themeShade="80"/>
        </w:rPr>
      </w:pPr>
    </w:p>
    <w:p w:rsidR="00E013B3" w:rsidRDefault="00E013B3" w:rsidP="00E013B3">
      <w:pPr>
        <w:pStyle w:val="Textoindependiente"/>
        <w:ind w:firstLine="708"/>
        <w:rPr>
          <w:rFonts w:ascii="Calibri" w:hAnsi="Calibri"/>
          <w:color w:val="767171" w:themeColor="background2" w:themeShade="80"/>
          <w:sz w:val="26"/>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E013B3" w:rsidRDefault="00E013B3" w:rsidP="00E013B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148/2016-JN</w:t>
      </w:r>
    </w:p>
    <w:p w:rsidR="00E013B3" w:rsidRDefault="00E013B3" w:rsidP="00E013B3">
      <w:pPr>
        <w:jc w:val="both"/>
        <w:rPr>
          <w:rFonts w:asciiTheme="minorHAnsi" w:hAnsiTheme="minorHAnsi" w:cstheme="minorHAnsi"/>
          <w:color w:val="767171" w:themeColor="background2" w:themeShade="80"/>
          <w:sz w:val="26"/>
          <w:szCs w:val="26"/>
        </w:rPr>
      </w:pPr>
    </w:p>
    <w:p w:rsidR="00E013B3" w:rsidRDefault="00E013B3" w:rsidP="00E013B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E013B3" w:rsidRDefault="00E013B3" w:rsidP="00E013B3">
      <w:pPr>
        <w:pStyle w:val="Normal0"/>
        <w:jc w:val="both"/>
        <w:rPr>
          <w:rFonts w:asciiTheme="minorHAnsi" w:hAnsiTheme="minorHAnsi" w:cstheme="minorHAnsi"/>
          <w:color w:val="767171" w:themeColor="background2" w:themeShade="80"/>
          <w:sz w:val="26"/>
          <w:szCs w:val="26"/>
        </w:rPr>
      </w:pPr>
    </w:p>
    <w:p w:rsidR="00E013B3" w:rsidRDefault="00E013B3" w:rsidP="00E013B3">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E013B3" w:rsidRDefault="00E013B3" w:rsidP="00E013B3">
      <w:pPr>
        <w:pStyle w:val="Textoindependienteprimerasangra"/>
        <w:ind w:firstLine="0"/>
        <w:jc w:val="both"/>
        <w:rPr>
          <w:rFonts w:asciiTheme="minorHAnsi" w:hAnsiTheme="minorHAnsi" w:cstheme="minorHAnsi"/>
          <w:i/>
          <w:color w:val="767171" w:themeColor="background2" w:themeShade="80"/>
          <w:sz w:val="26"/>
          <w:szCs w:val="26"/>
        </w:rPr>
      </w:pP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E013B3" w:rsidRDefault="00E013B3" w:rsidP="00E013B3">
      <w:pPr>
        <w:pStyle w:val="Textoindependienteprimerasangra"/>
        <w:ind w:firstLine="708"/>
        <w:jc w:val="both"/>
        <w:rPr>
          <w:rFonts w:asciiTheme="minorHAnsi" w:hAnsiTheme="minorHAnsi" w:cstheme="minorHAnsi"/>
          <w:color w:val="767171" w:themeColor="background2" w:themeShade="80"/>
          <w:sz w:val="20"/>
          <w:szCs w:val="20"/>
        </w:rPr>
      </w:pPr>
    </w:p>
    <w:p w:rsidR="00E013B3" w:rsidRDefault="00E013B3" w:rsidP="00E013B3">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E013B3" w:rsidRDefault="00E013B3" w:rsidP="00E013B3">
      <w:pPr>
        <w:jc w:val="both"/>
        <w:rPr>
          <w:color w:val="767171" w:themeColor="background2" w:themeShade="80"/>
          <w:sz w:val="20"/>
          <w:szCs w:val="20"/>
        </w:rPr>
      </w:pPr>
    </w:p>
    <w:p w:rsidR="00E013B3" w:rsidRDefault="00E013B3" w:rsidP="00E013B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E013B3" w:rsidRDefault="00E013B3" w:rsidP="00E013B3">
      <w:pPr>
        <w:pStyle w:val="Textoindependienteprimerasangra"/>
        <w:jc w:val="both"/>
        <w:rPr>
          <w:rFonts w:asciiTheme="minorHAnsi" w:hAnsiTheme="minorHAnsi" w:cstheme="minorHAnsi"/>
          <w:color w:val="767171" w:themeColor="background2" w:themeShade="80"/>
          <w:sz w:val="20"/>
          <w:szCs w:val="20"/>
        </w:rPr>
      </w:pPr>
    </w:p>
    <w:p w:rsidR="00E013B3" w:rsidRDefault="00E013B3" w:rsidP="00E013B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la ciudadana *****, en contra del oficio impugnado. . . . . </w:t>
      </w:r>
    </w:p>
    <w:p w:rsidR="00E013B3" w:rsidRDefault="00E013B3" w:rsidP="00E013B3">
      <w:pPr>
        <w:pStyle w:val="Textoindependienteprimerasangra"/>
        <w:jc w:val="both"/>
        <w:rPr>
          <w:rFonts w:asciiTheme="minorHAnsi" w:hAnsiTheme="minorHAnsi" w:cstheme="minorHAnsi"/>
          <w:b/>
          <w:bCs/>
          <w:i/>
          <w:iCs/>
          <w:color w:val="767171" w:themeColor="background2" w:themeShade="80"/>
          <w:sz w:val="20"/>
          <w:szCs w:val="20"/>
        </w:rPr>
      </w:pPr>
    </w:p>
    <w:p w:rsidR="00E013B3" w:rsidRDefault="00E013B3" w:rsidP="00E013B3">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GCA/1970/15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w:t>
      </w:r>
      <w:r>
        <w:rPr>
          <w:rFonts w:asciiTheme="minorHAnsi" w:hAnsiTheme="minorHAnsi" w:cstheme="minorHAnsi"/>
          <w:color w:val="767171" w:themeColor="background2" w:themeShade="80"/>
          <w:sz w:val="26"/>
          <w:szCs w:val="26"/>
        </w:rPr>
        <w:t>la ciudadana *****</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w:t>
      </w:r>
    </w:p>
    <w:p w:rsidR="00E013B3" w:rsidRDefault="00E013B3" w:rsidP="00E013B3">
      <w:pPr>
        <w:pStyle w:val="Textoindependienteprimerasangra"/>
        <w:ind w:firstLine="0"/>
        <w:jc w:val="both"/>
        <w:rPr>
          <w:rFonts w:asciiTheme="minorHAnsi" w:hAnsiTheme="minorHAnsi" w:cstheme="minorHAnsi"/>
          <w:b/>
          <w:bCs/>
          <w:i/>
          <w:iCs/>
          <w:color w:val="767171" w:themeColor="background2" w:themeShade="80"/>
          <w:sz w:val="20"/>
          <w:szCs w:val="20"/>
        </w:rPr>
      </w:pPr>
    </w:p>
    <w:p w:rsidR="00E013B3" w:rsidRDefault="00E013B3" w:rsidP="00E013B3">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E013B3" w:rsidRDefault="00E013B3" w:rsidP="00E013B3">
      <w:pPr>
        <w:pStyle w:val="Textoindependienteprimerasangra"/>
        <w:jc w:val="both"/>
        <w:rPr>
          <w:rFonts w:asciiTheme="minorHAnsi" w:hAnsiTheme="minorHAnsi" w:cstheme="minorHAnsi"/>
          <w:color w:val="767171" w:themeColor="background2" w:themeShade="80"/>
          <w:sz w:val="20"/>
          <w:szCs w:val="20"/>
        </w:rPr>
      </w:pPr>
    </w:p>
    <w:p w:rsidR="00E013B3" w:rsidRDefault="00E013B3" w:rsidP="00E013B3">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E013B3" w:rsidRDefault="00E013B3" w:rsidP="00E013B3">
      <w:pPr>
        <w:pStyle w:val="Textoindependienteprimerasangra"/>
        <w:jc w:val="both"/>
        <w:rPr>
          <w:rFonts w:asciiTheme="minorHAnsi" w:hAnsiTheme="minorHAnsi" w:cstheme="minorHAnsi"/>
          <w:color w:val="767171" w:themeColor="background2" w:themeShade="80"/>
          <w:sz w:val="20"/>
          <w:szCs w:val="20"/>
        </w:rPr>
      </w:pPr>
    </w:p>
    <w:p w:rsidR="00E013B3" w:rsidRDefault="00E013B3" w:rsidP="00E013B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B3"/>
    <w:rsid w:val="00B237B6"/>
    <w:rsid w:val="00E013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91C05-AEF3-460B-AEE0-1A7E80DF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3B3"/>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E013B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013B3"/>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E013B3"/>
    <w:pPr>
      <w:jc w:val="both"/>
    </w:pPr>
    <w:rPr>
      <w:lang w:val="es-MX"/>
    </w:rPr>
  </w:style>
  <w:style w:type="character" w:customStyle="1" w:styleId="TextoindependienteCar">
    <w:name w:val="Texto independiente Car"/>
    <w:basedOn w:val="Fuentedeprrafopredeter"/>
    <w:link w:val="Textoindependiente"/>
    <w:rsid w:val="00E013B3"/>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E013B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013B3"/>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E013B3"/>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E013B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013B3"/>
    <w:rPr>
      <w:rFonts w:ascii="Times New Roman" w:eastAsia="Times New Roman" w:hAnsi="Times New Roman" w:cs="Times New Roman"/>
      <w:sz w:val="24"/>
      <w:szCs w:val="24"/>
      <w:lang w:val="es-ES" w:eastAsia="es-ES"/>
    </w:rPr>
  </w:style>
  <w:style w:type="paragraph" w:customStyle="1" w:styleId="Normal0">
    <w:name w:val="[Normal]"/>
    <w:semiHidden/>
    <w:rsid w:val="00E013B3"/>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E013B3"/>
    <w:rPr>
      <w:b/>
      <w:bCs/>
    </w:rPr>
  </w:style>
  <w:style w:type="character" w:styleId="nfasis">
    <w:name w:val="Emphasis"/>
    <w:basedOn w:val="Fuentedeprrafopredeter"/>
    <w:uiPriority w:val="20"/>
    <w:qFormat/>
    <w:rsid w:val="00E013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2888</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2017-09-01T14:46:00Z</dcterms:created>
  <dcterms:modified xsi:type="dcterms:W3CDTF">2017-09-01T14:48:00Z</dcterms:modified>
</cp:coreProperties>
</file>